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20921" w14:textId="14CBB7AA" w:rsidR="00D03B49" w:rsidRPr="00FC539C" w:rsidRDefault="00D03B49">
      <w:pPr>
        <w:rPr>
          <w:rFonts w:cstheme="minorHAnsi"/>
          <w:sz w:val="24"/>
          <w:szCs w:val="24"/>
        </w:rPr>
      </w:pPr>
    </w:p>
    <w:p w14:paraId="21E783AE" w14:textId="77777777" w:rsidR="00D6115A" w:rsidRPr="00D6115A" w:rsidRDefault="00D6115A" w:rsidP="00D6115A">
      <w:pPr>
        <w:rPr>
          <w:rFonts w:cstheme="minorHAnsi"/>
          <w:sz w:val="24"/>
          <w:szCs w:val="24"/>
        </w:rPr>
      </w:pPr>
      <w:r w:rsidRPr="00D6115A">
        <w:rPr>
          <w:rFonts w:cstheme="minorHAnsi"/>
          <w:b/>
          <w:bCs/>
          <w:sz w:val="24"/>
          <w:szCs w:val="24"/>
        </w:rPr>
        <w:t>Nom du Produit :</w:t>
      </w:r>
      <w:r w:rsidRPr="00D6115A">
        <w:rPr>
          <w:rFonts w:cstheme="minorHAnsi"/>
          <w:sz w:val="24"/>
          <w:szCs w:val="24"/>
        </w:rPr>
        <w:t xml:space="preserve"> Poche de </w:t>
      </w:r>
      <w:proofErr w:type="spellStart"/>
      <w:r w:rsidRPr="00D6115A">
        <w:rPr>
          <w:rFonts w:cstheme="minorHAnsi"/>
          <w:sz w:val="24"/>
          <w:szCs w:val="24"/>
        </w:rPr>
        <w:t>Photophérèse</w:t>
      </w:r>
      <w:proofErr w:type="spellEnd"/>
      <w:r w:rsidRPr="00D6115A">
        <w:rPr>
          <w:rFonts w:cstheme="minorHAnsi"/>
          <w:sz w:val="24"/>
          <w:szCs w:val="24"/>
        </w:rPr>
        <w:t xml:space="preserve"> Extracorporelle</w:t>
      </w:r>
    </w:p>
    <w:p w14:paraId="49B3804E" w14:textId="73DC2910" w:rsidR="00D6115A" w:rsidRPr="00D6115A" w:rsidRDefault="00D6115A" w:rsidP="00D6115A">
      <w:pPr>
        <w:rPr>
          <w:rFonts w:cstheme="minorHAnsi"/>
          <w:sz w:val="24"/>
          <w:szCs w:val="24"/>
        </w:rPr>
      </w:pPr>
      <w:r w:rsidRPr="00D6115A">
        <w:rPr>
          <w:rFonts w:cstheme="minorHAnsi"/>
          <w:b/>
          <w:bCs/>
          <w:sz w:val="24"/>
          <w:szCs w:val="24"/>
        </w:rPr>
        <w:t>Description :</w:t>
      </w:r>
      <w:r w:rsidRPr="00D6115A">
        <w:rPr>
          <w:rFonts w:cstheme="minorHAnsi"/>
          <w:sz w:val="24"/>
          <w:szCs w:val="24"/>
        </w:rPr>
        <w:t xml:space="preserve"> La </w:t>
      </w:r>
      <w:proofErr w:type="spellStart"/>
      <w:r w:rsidRPr="00D6115A">
        <w:rPr>
          <w:rFonts w:cstheme="minorHAnsi"/>
          <w:sz w:val="24"/>
          <w:szCs w:val="24"/>
        </w:rPr>
        <w:t>photophérèse</w:t>
      </w:r>
      <w:proofErr w:type="spellEnd"/>
      <w:r w:rsidRPr="00D6115A">
        <w:rPr>
          <w:rFonts w:cstheme="minorHAnsi"/>
          <w:sz w:val="24"/>
          <w:szCs w:val="24"/>
        </w:rPr>
        <w:t xml:space="preserve"> extracorporelle est une technique thérapeutique utilisant la lumière ultraviolette pour traiter les lymphocytes du patient. Ce procédé est employé </w:t>
      </w:r>
      <w:r w:rsidRPr="00FC539C">
        <w:rPr>
          <w:rFonts w:cstheme="minorHAnsi"/>
          <w:sz w:val="24"/>
          <w:szCs w:val="24"/>
        </w:rPr>
        <w:t xml:space="preserve">pour contrôler la </w:t>
      </w:r>
      <w:proofErr w:type="spellStart"/>
      <w:r w:rsidR="00FC539C" w:rsidRPr="00FC539C">
        <w:rPr>
          <w:rFonts w:cstheme="minorHAnsi"/>
          <w:sz w:val="24"/>
          <w:szCs w:val="24"/>
        </w:rPr>
        <w:t>GvH</w:t>
      </w:r>
      <w:proofErr w:type="spellEnd"/>
      <w:r w:rsidR="00FC539C" w:rsidRPr="00FC539C">
        <w:rPr>
          <w:rFonts w:cstheme="minorHAnsi"/>
          <w:sz w:val="24"/>
          <w:szCs w:val="24"/>
        </w:rPr>
        <w:t xml:space="preserve">, </w:t>
      </w:r>
      <w:r w:rsidRPr="00D6115A">
        <w:rPr>
          <w:rFonts w:cstheme="minorHAnsi"/>
          <w:sz w:val="24"/>
          <w:szCs w:val="24"/>
        </w:rPr>
        <w:t>pour des maladies comme le lymphome cutané à cellules T et le rejet de greffe. Les cellules sont prélevées, traitées par la lumière UV en présence d'un agent photosensibilisant</w:t>
      </w:r>
      <w:r w:rsidR="00FC539C" w:rsidRPr="00FC539C">
        <w:rPr>
          <w:rFonts w:cstheme="minorHAnsi"/>
          <w:sz w:val="24"/>
          <w:szCs w:val="24"/>
        </w:rPr>
        <w:t xml:space="preserve"> (8-MOP)</w:t>
      </w:r>
      <w:r w:rsidRPr="00D6115A">
        <w:rPr>
          <w:rFonts w:cstheme="minorHAnsi"/>
          <w:sz w:val="24"/>
          <w:szCs w:val="24"/>
        </w:rPr>
        <w:t>, puis réinfusées au patient.</w:t>
      </w:r>
    </w:p>
    <w:p w14:paraId="064DFEDD" w14:textId="77777777" w:rsidR="00D6115A" w:rsidRPr="00D6115A" w:rsidRDefault="00D6115A" w:rsidP="00D6115A">
      <w:pPr>
        <w:rPr>
          <w:rFonts w:cstheme="minorHAnsi"/>
          <w:sz w:val="24"/>
          <w:szCs w:val="24"/>
        </w:rPr>
      </w:pPr>
      <w:r w:rsidRPr="00D6115A">
        <w:rPr>
          <w:rFonts w:cstheme="minorHAnsi"/>
          <w:b/>
          <w:bCs/>
          <w:sz w:val="24"/>
          <w:szCs w:val="24"/>
        </w:rPr>
        <w:t>Conditionnement :</w:t>
      </w:r>
    </w:p>
    <w:p w14:paraId="7937258B" w14:textId="77777777" w:rsidR="00D6115A" w:rsidRPr="00D6115A" w:rsidRDefault="00D6115A" w:rsidP="00D6115A">
      <w:pPr>
        <w:numPr>
          <w:ilvl w:val="0"/>
          <w:numId w:val="3"/>
        </w:numPr>
        <w:rPr>
          <w:rFonts w:cstheme="minorHAnsi"/>
          <w:sz w:val="24"/>
          <w:szCs w:val="24"/>
        </w:rPr>
      </w:pPr>
      <w:r w:rsidRPr="00D6115A">
        <w:rPr>
          <w:rFonts w:cstheme="minorHAnsi"/>
          <w:b/>
          <w:bCs/>
          <w:sz w:val="24"/>
          <w:szCs w:val="24"/>
        </w:rPr>
        <w:t>Contenant :</w:t>
      </w:r>
      <w:r w:rsidRPr="00D6115A">
        <w:rPr>
          <w:rFonts w:cstheme="minorHAnsi"/>
          <w:sz w:val="24"/>
          <w:szCs w:val="24"/>
        </w:rPr>
        <w:t> Poche stérile en plastique médical.</w:t>
      </w:r>
    </w:p>
    <w:p w14:paraId="53A84DB7" w14:textId="77777777" w:rsidR="00D6115A" w:rsidRPr="00D6115A" w:rsidRDefault="00D6115A" w:rsidP="00D6115A">
      <w:pPr>
        <w:numPr>
          <w:ilvl w:val="0"/>
          <w:numId w:val="3"/>
        </w:numPr>
        <w:rPr>
          <w:rFonts w:cstheme="minorHAnsi"/>
          <w:sz w:val="24"/>
          <w:szCs w:val="24"/>
        </w:rPr>
      </w:pPr>
      <w:r w:rsidRPr="00D6115A">
        <w:rPr>
          <w:rFonts w:cstheme="minorHAnsi"/>
          <w:b/>
          <w:bCs/>
          <w:sz w:val="24"/>
          <w:szCs w:val="24"/>
        </w:rPr>
        <w:t>Volume :</w:t>
      </w:r>
      <w:r w:rsidRPr="00D6115A">
        <w:rPr>
          <w:rFonts w:cstheme="minorHAnsi"/>
          <w:sz w:val="24"/>
          <w:szCs w:val="24"/>
        </w:rPr>
        <w:t xml:space="preserve"> Variable, généralement entre 200 et 300 </w:t>
      </w:r>
      <w:proofErr w:type="spellStart"/>
      <w:r w:rsidRPr="00D6115A">
        <w:rPr>
          <w:rFonts w:cstheme="minorHAnsi"/>
          <w:sz w:val="24"/>
          <w:szCs w:val="24"/>
        </w:rPr>
        <w:t>mL</w:t>
      </w:r>
      <w:proofErr w:type="spellEnd"/>
      <w:r w:rsidRPr="00D6115A">
        <w:rPr>
          <w:rFonts w:cstheme="minorHAnsi"/>
          <w:sz w:val="24"/>
          <w:szCs w:val="24"/>
        </w:rPr>
        <w:t>.</w:t>
      </w:r>
    </w:p>
    <w:p w14:paraId="7ABA4802" w14:textId="0BF19056" w:rsidR="00D6115A" w:rsidRPr="00D6115A" w:rsidRDefault="00D6115A" w:rsidP="00D6115A">
      <w:pPr>
        <w:numPr>
          <w:ilvl w:val="0"/>
          <w:numId w:val="3"/>
        </w:numPr>
        <w:rPr>
          <w:rFonts w:cstheme="minorHAnsi"/>
          <w:sz w:val="24"/>
          <w:szCs w:val="24"/>
        </w:rPr>
      </w:pPr>
      <w:r w:rsidRPr="00D6115A">
        <w:rPr>
          <w:rFonts w:cstheme="minorHAnsi"/>
          <w:b/>
          <w:bCs/>
          <w:sz w:val="24"/>
          <w:szCs w:val="24"/>
        </w:rPr>
        <w:t>Conservation :</w:t>
      </w:r>
      <w:r w:rsidRPr="00D6115A">
        <w:rPr>
          <w:rFonts w:cstheme="minorHAnsi"/>
          <w:sz w:val="24"/>
          <w:szCs w:val="24"/>
        </w:rPr>
        <w:t xml:space="preserve"> Stockées à température ambiante ou </w:t>
      </w:r>
      <w:r w:rsidRPr="00FC539C">
        <w:rPr>
          <w:rFonts w:cstheme="minorHAnsi"/>
          <w:sz w:val="24"/>
          <w:szCs w:val="24"/>
        </w:rPr>
        <w:t>congelées</w:t>
      </w:r>
      <w:r w:rsidRPr="00D6115A">
        <w:rPr>
          <w:rFonts w:cstheme="minorHAnsi"/>
          <w:sz w:val="24"/>
          <w:szCs w:val="24"/>
        </w:rPr>
        <w:t xml:space="preserve"> selon les protocoles.</w:t>
      </w:r>
    </w:p>
    <w:p w14:paraId="57696F75" w14:textId="77777777" w:rsidR="00D6115A" w:rsidRPr="00D6115A" w:rsidRDefault="00D6115A" w:rsidP="00D6115A">
      <w:pPr>
        <w:numPr>
          <w:ilvl w:val="0"/>
          <w:numId w:val="3"/>
        </w:numPr>
        <w:rPr>
          <w:rFonts w:cstheme="minorHAnsi"/>
          <w:sz w:val="24"/>
          <w:szCs w:val="24"/>
        </w:rPr>
      </w:pPr>
      <w:r w:rsidRPr="00D6115A">
        <w:rPr>
          <w:rFonts w:cstheme="minorHAnsi"/>
          <w:b/>
          <w:bCs/>
          <w:sz w:val="24"/>
          <w:szCs w:val="24"/>
        </w:rPr>
        <w:t>Identification :</w:t>
      </w:r>
      <w:r w:rsidRPr="00D6115A">
        <w:rPr>
          <w:rFonts w:cstheme="minorHAnsi"/>
          <w:sz w:val="24"/>
          <w:szCs w:val="24"/>
        </w:rPr>
        <w:t> Étiquetage clair avec informations du patient, date de traitement, et identifiants uniques.</w:t>
      </w:r>
    </w:p>
    <w:p w14:paraId="02E5C9BA" w14:textId="77777777" w:rsidR="00D6115A" w:rsidRPr="00D6115A" w:rsidRDefault="00D6115A" w:rsidP="00D6115A">
      <w:pPr>
        <w:numPr>
          <w:ilvl w:val="0"/>
          <w:numId w:val="3"/>
        </w:numPr>
        <w:rPr>
          <w:rFonts w:cstheme="minorHAnsi"/>
          <w:sz w:val="24"/>
          <w:szCs w:val="24"/>
        </w:rPr>
      </w:pPr>
      <w:r w:rsidRPr="00D6115A">
        <w:rPr>
          <w:rFonts w:cstheme="minorHAnsi"/>
          <w:b/>
          <w:bCs/>
          <w:sz w:val="24"/>
          <w:szCs w:val="24"/>
        </w:rPr>
        <w:t>Transport :</w:t>
      </w:r>
      <w:r w:rsidRPr="00D6115A">
        <w:rPr>
          <w:rFonts w:cstheme="minorHAnsi"/>
          <w:sz w:val="24"/>
          <w:szCs w:val="24"/>
        </w:rPr>
        <w:t> Dans un conteneur adapté pour maintenir les conditions optimales.</w:t>
      </w:r>
    </w:p>
    <w:p w14:paraId="44789F77" w14:textId="77777777" w:rsidR="00D6115A" w:rsidRPr="00D6115A" w:rsidRDefault="00D6115A" w:rsidP="00D6115A">
      <w:pPr>
        <w:rPr>
          <w:rFonts w:cstheme="minorHAnsi"/>
          <w:sz w:val="24"/>
          <w:szCs w:val="24"/>
        </w:rPr>
      </w:pPr>
      <w:r w:rsidRPr="00D6115A">
        <w:rPr>
          <w:rFonts w:cstheme="minorHAnsi"/>
          <w:b/>
          <w:bCs/>
          <w:sz w:val="24"/>
          <w:szCs w:val="24"/>
        </w:rPr>
        <w:t>Utilisation :</w:t>
      </w:r>
      <w:r w:rsidRPr="00D6115A">
        <w:rPr>
          <w:rFonts w:cstheme="minorHAnsi"/>
          <w:sz w:val="24"/>
          <w:szCs w:val="24"/>
        </w:rPr>
        <w:t xml:space="preserve"> Les poches de </w:t>
      </w:r>
      <w:proofErr w:type="spellStart"/>
      <w:r w:rsidRPr="00D6115A">
        <w:rPr>
          <w:rFonts w:cstheme="minorHAnsi"/>
          <w:sz w:val="24"/>
          <w:szCs w:val="24"/>
        </w:rPr>
        <w:t>photophérèse</w:t>
      </w:r>
      <w:proofErr w:type="spellEnd"/>
      <w:r w:rsidRPr="00D6115A">
        <w:rPr>
          <w:rFonts w:cstheme="minorHAnsi"/>
          <w:sz w:val="24"/>
          <w:szCs w:val="24"/>
        </w:rPr>
        <w:t xml:space="preserve"> sont réinfusées au patient par voie intraveineuse dans un environnement médical contrôlé. Ce traitement vise à moduler la réponse immunitaire et à réduire les symptômes de la maladie.</w:t>
      </w:r>
    </w:p>
    <w:p w14:paraId="6651B292" w14:textId="60203595" w:rsidR="00D6115A" w:rsidRPr="00FC539C" w:rsidRDefault="00D6115A">
      <w:pPr>
        <w:rPr>
          <w:rFonts w:cstheme="minorHAnsi"/>
          <w:sz w:val="24"/>
          <w:szCs w:val="24"/>
        </w:rPr>
      </w:pPr>
    </w:p>
    <w:p w14:paraId="4EB48F30" w14:textId="7FE5FA27" w:rsidR="00FC539C" w:rsidRPr="00FC539C" w:rsidRDefault="00FC539C">
      <w:pPr>
        <w:rPr>
          <w:rFonts w:cstheme="minorHAnsi"/>
          <w:sz w:val="24"/>
          <w:szCs w:val="24"/>
        </w:rPr>
      </w:pPr>
    </w:p>
    <w:p w14:paraId="34BAA294" w14:textId="77777777" w:rsidR="00FC539C" w:rsidRPr="00FC539C" w:rsidRDefault="00FC539C">
      <w:pPr>
        <w:rPr>
          <w:rFonts w:cstheme="minorHAnsi"/>
          <w:sz w:val="24"/>
          <w:szCs w:val="24"/>
        </w:rPr>
      </w:pPr>
    </w:p>
    <w:sectPr w:rsidR="00FC539C" w:rsidRPr="00FC53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563E6"/>
    <w:multiLevelType w:val="multilevel"/>
    <w:tmpl w:val="6D48B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A7F7C9F"/>
    <w:multiLevelType w:val="multilevel"/>
    <w:tmpl w:val="50FA0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47820AF"/>
    <w:multiLevelType w:val="multilevel"/>
    <w:tmpl w:val="16260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1592085"/>
    <w:multiLevelType w:val="multilevel"/>
    <w:tmpl w:val="B1521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D27"/>
    <w:rsid w:val="003F0D27"/>
    <w:rsid w:val="00D03B49"/>
    <w:rsid w:val="00D6115A"/>
    <w:rsid w:val="00F60E1F"/>
    <w:rsid w:val="00FC5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816F8"/>
  <w15:chartTrackingRefBased/>
  <w15:docId w15:val="{0F03E6BF-D216-442C-BC91-BE104DAF3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F0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42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1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EFS</Company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 SOLER</dc:creator>
  <cp:keywords/>
  <dc:description/>
  <cp:lastModifiedBy>Christophe SOLER</cp:lastModifiedBy>
  <cp:revision>2</cp:revision>
  <dcterms:created xsi:type="dcterms:W3CDTF">2025-03-21T08:10:00Z</dcterms:created>
  <dcterms:modified xsi:type="dcterms:W3CDTF">2025-03-21T08:10:00Z</dcterms:modified>
</cp:coreProperties>
</file>